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全面从严治党自查报告锦集4篇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全面从严治党自查报告1　　今年...</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全面从严治党自查报告1</w:t>
      </w:r>
    </w:p>
    <w:p>
      <w:pPr>
        <w:ind w:left="0" w:right="0" w:firstLine="560"/>
        <w:spacing w:before="450" w:after="450" w:line="312" w:lineRule="auto"/>
      </w:pPr>
      <w:r>
        <w:rPr>
          <w:rFonts w:ascii="宋体" w:hAnsi="宋体" w:eastAsia="宋体" w:cs="宋体"/>
          <w:color w:val="000"/>
          <w:sz w:val="28"/>
          <w:szCs w:val="28"/>
        </w:rPr>
        <w:t xml:space="preserve">　　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　　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　　(一)从严抓思想教育</w:t>
      </w:r>
    </w:p>
    <w:p>
      <w:pPr>
        <w:ind w:left="0" w:right="0" w:firstLine="560"/>
        <w:spacing w:before="450" w:after="450" w:line="312" w:lineRule="auto"/>
      </w:pPr>
      <w:r>
        <w:rPr>
          <w:rFonts w:ascii="宋体" w:hAnsi="宋体" w:eastAsia="宋体" w:cs="宋体"/>
          <w:color w:val="000"/>
          <w:sz w:val="28"/>
          <w:szCs w:val="28"/>
        </w:rPr>
        <w:t xml:space="preserve">　　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　　(二)从严抓管党治党</w:t>
      </w:r>
    </w:p>
    <w:p>
      <w:pPr>
        <w:ind w:left="0" w:right="0" w:firstLine="560"/>
        <w:spacing w:before="450" w:after="450" w:line="312" w:lineRule="auto"/>
      </w:pPr>
      <w:r>
        <w:rPr>
          <w:rFonts w:ascii="宋体" w:hAnsi="宋体" w:eastAsia="宋体" w:cs="宋体"/>
          <w:color w:val="000"/>
          <w:sz w:val="28"/>
          <w:szCs w:val="28"/>
        </w:rPr>
        <w:t xml:space="preserve">　　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　　(六)从严抓惩治腐败</w:t>
      </w:r>
    </w:p>
    <w:p>
      <w:pPr>
        <w:ind w:left="0" w:right="0" w:firstLine="560"/>
        <w:spacing w:before="450" w:after="450" w:line="312" w:lineRule="auto"/>
      </w:pPr>
      <w:r>
        <w:rPr>
          <w:rFonts w:ascii="宋体" w:hAnsi="宋体" w:eastAsia="宋体" w:cs="宋体"/>
          <w:color w:val="000"/>
          <w:sz w:val="28"/>
          <w:szCs w:val="28"/>
        </w:rPr>
        <w:t xml:space="preserve">　　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　　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　　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　　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　　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　　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　　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　　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全面从严治党自查报告2</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全面从严治党自查报告3</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全面从严治党自查报告4</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