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2024年人防工程建设开发工作总结（共五篇）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文章标题：2024年人防工程建设开发工作总结今年以来，我们认真贯彻实施《人防法》，依法拓宽人防工程建设渠道，加强管理力度，提高防空地下室建设率，坚持“以建为主”的原则，开展“结建”工作，严格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文章标题：2024年人防工程建设开发工作总结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w:t>
      </w:r>
    </w:p>
    <w:p>
      <w:pPr>
        <w:ind w:left="0" w:right="0" w:firstLine="560"/>
        <w:spacing w:before="450" w:after="450" w:line="312" w:lineRule="auto"/>
      </w:pPr>
      <w:r>
        <w:rPr>
          <w:rFonts w:ascii="宋体" w:hAnsi="宋体" w:eastAsia="宋体" w:cs="宋体"/>
          <w:color w:val="000"/>
          <w:sz w:val="28"/>
          <w:szCs w:val="28"/>
        </w:rPr>
        <w:t xml:space="preserve">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宋体" w:hAnsi="宋体" w:eastAsia="宋体" w:cs="宋体"/>
          <w:color w:val="000"/>
          <w:sz w:val="28"/>
          <w:szCs w:val="28"/>
        </w:rPr>
        <w:t xml:space="preserve">《2024年人防工程建设开发工作总结》来源于feisuxs，欢迎阅读2024年人防工程建设开发工作总结。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2024-09-20T18:01:23+08:00</dcterms:created>
  <dcterms:modified xsi:type="dcterms:W3CDTF">2024-09-20T18:01:23+08:00</dcterms:modified>
</cp:coreProperties>
</file>

<file path=docProps/custom.xml><?xml version="1.0" encoding="utf-8"?>
<Properties xmlns="http://schemas.openxmlformats.org/officeDocument/2006/custom-properties" xmlns:vt="http://schemas.openxmlformats.org/officeDocument/2006/docPropsVTypes"/>
</file>