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小学老师工作总结简短(四篇)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小学老师工作总结简短篇一</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中国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xx等老师修改多媒体课件，在第二学期又为邱宏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xxx多本图书，还加班进行图书的\'排架花了两天，对学生的图书借阅请教了xx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e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4"/>
          <w:szCs w:val="34"/>
          <w:b w:val="1"/>
          <w:bCs w:val="1"/>
        </w:rPr>
        <w:t xml:space="preserve">小学老师工作总结简短篇二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4"/>
          <w:szCs w:val="34"/>
          <w:b w:val="1"/>
          <w:bCs w:val="1"/>
        </w:rPr>
        <w:t xml:space="preserve">小学老师工作总结简短篇三</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4、在课堂教学中，坚持启发式教学，坚持向xx分钟要质量。以学生为主体，以训练为主线。教学过程重视知识与技能，学习过程和方法，情感态度与价值观，培养学生自主学习，合作学习，探究性学习的精神。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小学老师工作总结简短篇四</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小学英语教师工作总结。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 在听力方面。为提高学生的听力水平，常让学生听英语歌曲及英语会话的录音磁带，还让学生表演对话，背书。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2024-11-10T19:19:24+08:00</dcterms:created>
  <dcterms:modified xsi:type="dcterms:W3CDTF">2024-11-10T19:19:24+08:00</dcterms:modified>
</cp:coreProperties>
</file>

<file path=docProps/custom.xml><?xml version="1.0" encoding="utf-8"?>
<Properties xmlns="http://schemas.openxmlformats.org/officeDocument/2006/custom-properties" xmlns:vt="http://schemas.openxmlformats.org/officeDocument/2006/docPropsVTypes"/>
</file>