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2024年网络意识形态工作责任制实施办法</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网络意识形态工作责任制实施办法第一章  总则第一条 为进一步加强和改进网络意识形态工作，牢牢掌握网络意识形态工作领导权和主动权，明确党委领导班子、领导干部的网络意识形态工作责任，根据中央有关文件精神和上级有关规定，结合公司实际，制定本实施办...</w:t>
      </w:r>
    </w:p>
    <w:p>
      <w:pPr>
        <w:ind w:left="0" w:right="0" w:firstLine="560"/>
        <w:spacing w:before="450" w:after="450" w:line="312" w:lineRule="auto"/>
      </w:pPr>
      <w:r>
        <w:rPr>
          <w:rFonts w:ascii="宋体" w:hAnsi="宋体" w:eastAsia="宋体" w:cs="宋体"/>
          <w:color w:val="000"/>
          <w:sz w:val="28"/>
          <w:szCs w:val="28"/>
        </w:rPr>
        <w:t xml:space="preserve">网络意识形态工作责任制实施办法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w:t>
      </w:r>
    </w:p>
    <w:p>
      <w:pPr>
        <w:ind w:left="0" w:right="0" w:firstLine="560"/>
        <w:spacing w:before="450" w:after="450" w:line="312" w:lineRule="auto"/>
      </w:pPr>
      <w:r>
        <w:rPr>
          <w:rFonts w:ascii="宋体" w:hAnsi="宋体" w:eastAsia="宋体" w:cs="宋体"/>
          <w:color w:val="000"/>
          <w:sz w:val="28"/>
          <w:szCs w:val="28"/>
        </w:rPr>
        <w:t xml:space="preserve">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w:t>
      </w:r>
    </w:p>
    <w:p>
      <w:pPr>
        <w:ind w:left="0" w:right="0" w:firstLine="560"/>
        <w:spacing w:before="450" w:after="450" w:line="312" w:lineRule="auto"/>
      </w:pPr>
      <w:r>
        <w:rPr>
          <w:rFonts w:ascii="宋体" w:hAnsi="宋体" w:eastAsia="宋体" w:cs="宋体"/>
          <w:color w:val="000"/>
          <w:sz w:val="28"/>
          <w:szCs w:val="28"/>
        </w:rPr>
        <w:t xml:space="preserve">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w:t>
      </w:r>
    </w:p>
    <w:p>
      <w:pPr>
        <w:ind w:left="0" w:right="0" w:firstLine="560"/>
        <w:spacing w:before="450" w:after="450" w:line="312" w:lineRule="auto"/>
      </w:pPr>
      <w:r>
        <w:rPr>
          <w:rFonts w:ascii="宋体" w:hAnsi="宋体" w:eastAsia="宋体" w:cs="宋体"/>
          <w:color w:val="000"/>
          <w:sz w:val="28"/>
          <w:szCs w:val="28"/>
        </w:rPr>
        <w:t xml:space="preserve">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