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解除劳动合同书(23篇)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解除劳动合同书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解除劳动合同书篇九</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宪法》、《中华人民共和国劳动法》、《中华人民共和国劳动合同法》、《中华人民共和国工会法》、《中华人民共和国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（五）在本单位连续工作满2024年，且距法定退休年龄不足5年的；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（二）职工月平均工资高于企业所在地上年度职工月平均工资3倍的，支付经济补偿金的标准按企业所在地上年度职工月平均工资3倍数额支付，支付年限最高不超过2024年；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w:t>
      </w:r>
    </w:p>
    <w:p>
      <w:pPr>
        <w:ind w:left="0" w:right="0" w:firstLine="560"/>
        <w:spacing w:before="450" w:after="450" w:line="312" w:lineRule="auto"/>
      </w:pPr>
      <w:r>
        <w:rPr>
          <w:rFonts w:ascii="宋体" w:hAnsi="宋体" w:eastAsia="宋体" w:cs="宋体"/>
          <w:color w:val="000"/>
          <w:sz w:val="28"/>
          <w:szCs w:val="28"/>
        </w:rPr>
        <w:t xml:space="preserve">甲方：某科技(无锡)有限公司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甲方：世信科技(无锡)有限公司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解除劳动合同书篇十九</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