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2024年教育部门财务会计述职报告(5篇)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教育部门财务会计述职报告篇一一、注重财会队伍建设，提高内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教育部门财务会计述职报告篇一</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泰安校区20__年核算收入7080万元，核算支出6851万元，截止今年11月核算收入5418万元，核算支出5693万元，(泰安校区收入支出中包括代青岛核算科研经费等);科技学院20__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__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 。</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本年度校区学院实际收取学费9420万元(含国家助学贷款到位资金632万元)，以学年计算，欠费率由20__年的0.6%下降至20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__年10月份，网上报销系统开始在泰安校区试运行，针对试运行过程中出现的问题，与财务处及浪潮公司的开发人员积极协调，反复沟通、使系统逐步完善。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(六)加强与税收、物价、财政等部门的联系，力争学校利益最大化。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在做好单位内部财会管理和核算工作的同时，积极争取地方部门支持，主动加强与泰安财政、税务、物价等部门的联系，在发票管理、税收减免、收费管理等方面，为学校和职工争取利益最大利益。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年办理通知存款92笔，增加利息收入22万元，20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最高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宋体" w:hAnsi="宋体" w:eastAsia="宋体" w:cs="宋体"/>
          <w:color w:val="000"/>
          <w:sz w:val="28"/>
          <w:szCs w:val="28"/>
        </w:rPr>
        <w:t xml:space="preserve">教育部门财务会计述职报告4[_TAG_h3]教育部门财务会计述职报告篇二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教育部门财务会计述职报告2[_TAG_h3]教育部门财务会计述职报告篇三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教育部门财务会计述职报告3[_TAG_h3]教育部门财务会计述职报告篇四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在过去的时间里，我能够自觉主动地学习国家的各项金融政策法规，在自己的工作岗位上尽职尽责，完成上级领导交给自己的工作任务，现就任职以来自己的学习、工作情况向组织和领导汇报如下：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教育部门财务会计述职报告5[_TAG_h3]教育部门财务会计述职报告篇五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2024-09-20T20:27:50+08:00</dcterms:created>
  <dcterms:modified xsi:type="dcterms:W3CDTF">2024-09-20T20:27:50+08:00</dcterms:modified>
</cp:coreProperties>
</file>

<file path=docProps/custom.xml><?xml version="1.0" encoding="utf-8"?>
<Properties xmlns="http://schemas.openxmlformats.org/officeDocument/2006/custom-properties" xmlns:vt="http://schemas.openxmlformats.org/officeDocument/2006/docPropsVTypes"/>
</file>