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最新金融销售年终总结会 金融销售月度总结与计划(三篇)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金融销售年终总结会 金融销售月...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金融销售年终总结会 金融销售月度总结与计划篇一</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全行非住房个人贷款余额__万元，累计发放__万元,同比多发放__万元，较年初增加__万元，同比多增加__万元。增量居系统内第_位，完成省行年度计划的__%，计划完成率居第_位，同比提高_个位次。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2024年，经全行个人业务战线全体同仁的辛勤努力，个人零售业务稳步健康发展，为全行的稳健经营夯实基础。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我行结合往年情况，采取早动手、早谋划，对一季度工作进行详细筹划，各支行亦相继召开专门会议，对基层网点员工明确激励政策及考核力度，适时调动员工积极性。全行上下认识到从元旦到春节前夕，是城乡居民收入兑现、年奖派发和资金回笼的主要阶段。通过举办客户乐于参与的春天行动抽奖活动、送“福”活动等等 ，辅以真情回馈，点面结合，维持良好的银客关系;同时抓住年前的资金流动特点，依托网点转型的平台，借助借记卡、惠农卡、网上银行、</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2、加大对优质个人客户的营销和服务力度。优质个人客户是我行个人金融业务经营的战略资源。截至12月末，全行二星级以上客户占比 ，存款占比 ，由此可见，对优质客户的维护工作做得是否到位关系到我行的业务发展和利润创造，只要抓住优质客户，就能稳定个人存款的基础(因此，从年初市行就深入实施“抓优质客户、促成长型客户、争潜力客户”的客户结构调整策略，依托个人优质客户管理系统，指导各支行对星级客户实施分层营销，坚持以经济贡献作为客户价值衡量的标准，集中优势资源，匹配相应层次的客户经理。强化对三星级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精品网点均开通贵宾服务窗口，并配备业务素质高的柜员，</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宋体" w:hAnsi="宋体" w:eastAsia="宋体" w:cs="宋体"/>
          <w:color w:val="000"/>
          <w:sz w:val="28"/>
          <w:szCs w:val="28"/>
        </w:rPr>
        <w:t xml:space="preserve">金融销售年终总结会 金融销售月度总结与计划篇二</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金融销售年终总结会 金融销售月度总结与计划篇三</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习近平主席在第十_次党代会的报告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2024-09-20T08:15:15+08:00</dcterms:created>
  <dcterms:modified xsi:type="dcterms:W3CDTF">2024-09-20T08:15:15+08:00</dcterms:modified>
</cp:coreProperties>
</file>

<file path=docProps/custom.xml><?xml version="1.0" encoding="utf-8"?>
<Properties xmlns="http://schemas.openxmlformats.org/officeDocument/2006/custom-properties" xmlns:vt="http://schemas.openxmlformats.org/officeDocument/2006/docPropsVTypes"/>
</file>