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2024年儒林外史读后感800字高中(七篇)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以下是小编为大家搜集的读后感范文，仅供参考，一起来看看吧儒林外史读后感高中篇一《儒林外史》是我国知名的...</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儒林外史读后感高中篇一</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的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儒林外史读后感高中篇二</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儒林外史读后感高中篇三</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《范进中举》讲的是五十四岁的老童生范进最后考上举人，欢喜至疯，最后被平日最怕的老丈人胡屠户一巴掌打清醒的故事。十分简单的故事，但纵观全文事实上却并不是那么简单。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儒林外史读后感高中篇四</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但他们的痴情并不是为了道德理论上的治国之经，而是纯粹的个人升官发财。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w:t>
      </w:r>
    </w:p>
    <w:p>
      <w:pPr>
        <w:ind w:left="0" w:right="0" w:firstLine="560"/>
        <w:spacing w:before="450" w:after="450" w:line="312" w:lineRule="auto"/>
      </w:pPr>
      <w:r>
        <w:rPr>
          <w:rFonts w:ascii="宋体" w:hAnsi="宋体" w:eastAsia="宋体" w:cs="宋体"/>
          <w:color w:val="000"/>
          <w:sz w:val="28"/>
          <w:szCs w:val="28"/>
        </w:rPr>
        <w:t xml:space="preserve">作书中充斥着讽刺味，辛辣尖刻，这与作者生活背景很有联系，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儒林外史读后感高中篇五</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儒林外史读后感高中篇六</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儒林外史读后感高中篇七</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w:t>
      </w:r>
    </w:p>
    <w:p>
      <w:pPr>
        <w:ind w:left="0" w:right="0" w:firstLine="560"/>
        <w:spacing w:before="450" w:after="450" w:line="312" w:lineRule="auto"/>
      </w:pPr>
      <w:r>
        <w:rPr>
          <w:rFonts w:ascii="宋体" w:hAnsi="宋体" w:eastAsia="宋体" w:cs="宋体"/>
          <w:color w:val="000"/>
          <w:sz w:val="28"/>
          <w:szCs w:val="28"/>
        </w:rPr>
        <w:t xml:space="preserve">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余尝读吴文木之《儒林外史》，其书儒者之种种，光怪陆离，众生百态，不一而足，或吝啬，或迂腐，或势利，或恬淡，或浑雅，比比皆是也。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2024-09-20T06:14:52+08:00</dcterms:created>
  <dcterms:modified xsi:type="dcterms:W3CDTF">2024-09-20T06:14:52+08:00</dcterms:modified>
</cp:coreProperties>
</file>

<file path=docProps/custom.xml><?xml version="1.0" encoding="utf-8"?>
<Properties xmlns="http://schemas.openxmlformats.org/officeDocument/2006/custom-properties" xmlns:vt="http://schemas.openxmlformats.org/officeDocument/2006/docPropsVTypes"/>
</file>