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房屋销售合同纠纷(十篇)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 平方米，套内面积为 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 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 元，乙方认购的 栋 房(暂以建筑面积 平方米计)的房屋总价款(毛坯价，不含装修)为人民币 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20xx年3月31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 5日内，甲方通知乙方签订《商品房认购协议》，乙方凭上述《装修合同》及装修款缴付凭证，与开发商新发公司签订《商品房认购</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开发商新发公司应于20xx年 12月前完成全部工程建设并通过竣工验收。在施工过程中，如遇施工困难、政策性因素、政府行为或政府方面责任，以及不可抗力事件等非甲方责任原因，从而导致工期延误的，上述工期可相应顺延。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地点：</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元一次性付清。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房屋销售合同纠纷篇六</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 平方米，套内面积为 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 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 元，乙方认购的 栋 房(暂以建筑面积 平方米计)的房屋总价款(毛坯价，不含装修)为人民币 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20xx年3月31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 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开发商新发公司应于20xx年 12月前完成全部工程建设并通过竣工验收。在施工过程中，如遇施工困难、政策性因素、政府行为或政府方面责任，以及不可抗力事件等非甲方责任原因，从而导致工期延误的，上述工期可相应顺延。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1.2%提取。(否则，代理费率相应减少0.05%，即1.15%。)如咨询公司在正式开盘至封顶时达到 %的销售率，代理费相应增加0.05%，即1.25%</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