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红楼梦每两章读后感500字作文 红楼梦前十章读后感500(3篇)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以下是小编为大家准备的读后感精彩范文，希望对大家有帮助!红楼梦每两章读后感500字作文 红楼梦前十章读后感500篇一红楼...</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红楼梦每两章读后感500字作文 红楼梦前十章读后感500篇一</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红楼梦每两章读后感500字作文 红楼梦前十章读后感500篇二</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红楼梦每两章读后感500字作文 红楼梦前十章读后感500篇三</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看完红楼梦，不如来写一篇红楼梦读后感纪念一下吧！你是否在找正准备撰写“红楼梦每两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也许，又看一遍，又有新的感受。</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