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网易2024年第二季度财务报告</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二季度财务报告网易2024年第二季度财务报告北京时间8月15日早间，网易(Nasdaq:NTES)今天发布了公司截止到2024年6月30日的第二季度未经审计财报。报告显示，网易第二季度总收入为人民币24亿元(约合3...</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年度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15日早间，网易(Nasdaq:NTES)今天公布了截至3月31日的2024财年第一季度未经审计财务报告。报告显示，网易第一季度总营收为人民币25.190亿元(约合4.052亿美元)，上一季度和去年同期分别为人民币25.851亿元和人民币22.580亿元；净利润为人民币11亿元(约合1.808亿美元)，低于上一季度的人民币12亿元，与去年同期的人民币11亿元持平。</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根据雅虎财经汇总的数据，华尔街7位分析师平均预期，按美国通用会计准则(GAAP)计算，网易第一季度每股美国存托凭证(ADS)收益为1.57美元。财报显示，网易第一季度每ADS收益1.39美元，不及分析师预期。</w:t>
      </w:r>
    </w:p>
    <w:p>
      <w:pPr>
        <w:ind w:left="0" w:right="0" w:firstLine="560"/>
        <w:spacing w:before="450" w:after="450" w:line="312" w:lineRule="auto"/>
      </w:pPr>
      <w:r>
        <w:rPr>
          <w:rFonts w:ascii="宋体" w:hAnsi="宋体" w:eastAsia="宋体" w:cs="宋体"/>
          <w:color w:val="000"/>
          <w:sz w:val="28"/>
          <w:szCs w:val="28"/>
        </w:rPr>
        <w:t xml:space="preserve">另外，华尔街8位分析师平均预期，网易第一季度总营收为3.9089亿美元。财报显示，网易第一季度总营收 4.052亿美元，超出分析师预期。2024年第一季度财务业绩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2024年第一季度总收入为25.19亿元人民币(4.05亿美元)，上一季度和去年同期分别为25.85亿元人民币和22.58亿元人民币。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2024年第一季度在线游戏服务收入为21.56亿元人民币(3.47亿美元)，上一季度和去年同期分别为21.09亿元人民币和20.27亿元人民币。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2024年第一季度广告服务收入为2.45亿元人民币(3,937万美元)，上一季度和去年同期分别为3.58亿元人民币和1.65亿元人民币。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2024年第一季度邮箱，电商及其它业务的收入为1.19亿元人民币(1,909万美元)，上一季度和去年同期分别为1.17亿元人民币和6,539万元人民币。销售税金</w:t>
      </w:r>
    </w:p>
    <w:p>
      <w:pPr>
        <w:ind w:left="0" w:right="0" w:firstLine="560"/>
        <w:spacing w:before="450" w:after="450" w:line="312" w:lineRule="auto"/>
      </w:pPr>
      <w:r>
        <w:rPr>
          <w:rFonts w:ascii="宋体" w:hAnsi="宋体" w:eastAsia="宋体" w:cs="宋体"/>
          <w:color w:val="000"/>
          <w:sz w:val="28"/>
          <w:szCs w:val="28"/>
        </w:rPr>
        <w:t xml:space="preserve">2024年第一季度销售税金为1.53亿元人民币(2,469万美元)，上一季度和去年同期分别为1.63亿元人民币和1.05亿元人民币。销售税金的同比增长主要是由于中国税法改革，自2024年起公司在线游戏收入逐步由缴纳营业税转变为缴纳增</w:t>
      </w:r>
    </w:p>
    <w:p>
      <w:pPr>
        <w:ind w:left="0" w:right="0" w:firstLine="560"/>
        <w:spacing w:before="450" w:after="450" w:line="312" w:lineRule="auto"/>
      </w:pPr>
      <w:r>
        <w:rPr>
          <w:rFonts w:ascii="宋体" w:hAnsi="宋体" w:eastAsia="宋体" w:cs="宋体"/>
          <w:color w:val="000"/>
          <w:sz w:val="28"/>
          <w:szCs w:val="28"/>
        </w:rPr>
        <w:t xml:space="preserve">值税。增值税的增加很大程度上被原计入销售成本的集团内部收入产生的营业税的减少所抵消，并未对网易在线游戏业务的毛利润造成重大影响。</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2024年第一季度毛利润为17.08亿元人民币(2.75亿美元)，上一季度和去年同期分别为17.27亿元人民币和15.46亿元人民币。</w:t>
      </w:r>
    </w:p>
    <w:p>
      <w:pPr>
        <w:ind w:left="0" w:right="0" w:firstLine="560"/>
        <w:spacing w:before="450" w:after="450" w:line="312" w:lineRule="auto"/>
      </w:pPr>
      <w:r>
        <w:rPr>
          <w:rFonts w:ascii="宋体" w:hAnsi="宋体" w:eastAsia="宋体" w:cs="宋体"/>
          <w:color w:val="000"/>
          <w:sz w:val="28"/>
          <w:szCs w:val="28"/>
        </w:rPr>
        <w:t xml:space="preserve">在线游戏服务收入同比和环比增长的主要得益于《炉石传说：魔兽英雄传》的推出和几款自研游戏收入增长。例如《梦幻西游2》，该款游戏在本季度推出了新的资料片，和《新大话西游2》，该款游戏举行了一系列促销活动。</w:t>
      </w:r>
    </w:p>
    <w:p>
      <w:pPr>
        <w:ind w:left="0" w:right="0" w:firstLine="560"/>
        <w:spacing w:before="450" w:after="450" w:line="312" w:lineRule="auto"/>
      </w:pPr>
      <w:r>
        <w:rPr>
          <w:rFonts w:ascii="宋体" w:hAnsi="宋体" w:eastAsia="宋体" w:cs="宋体"/>
          <w:color w:val="000"/>
          <w:sz w:val="28"/>
          <w:szCs w:val="28"/>
        </w:rPr>
        <w:t xml:space="preserve">广告服务毛利同比增长的主要原因是，交通类、食品饮料类和金融服务类的广告服务需求增长，以及手机应用的商业化进展。广告服务收入和毛利的环比下降主要是因为中国广告业务的季节性因素。</w:t>
      </w:r>
    </w:p>
    <w:p>
      <w:pPr>
        <w:ind w:left="0" w:right="0" w:firstLine="560"/>
        <w:spacing w:before="450" w:after="450" w:line="312" w:lineRule="auto"/>
      </w:pPr>
      <w:r>
        <w:rPr>
          <w:rFonts w:ascii="宋体" w:hAnsi="宋体" w:eastAsia="宋体" w:cs="宋体"/>
          <w:color w:val="000"/>
          <w:sz w:val="28"/>
          <w:szCs w:val="28"/>
        </w:rPr>
        <w:t xml:space="preserve">邮箱、电商及其他收入同比和环比的增长主要得益于电商业务的快速发展，比如与第三方彩票产品和保险产品相关的电商服务收入。</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2024年第一季度在线游戏的毛利率为78.5%，上一季度和去年同期分别为77.7%和77.8%。</w:t>
      </w:r>
    </w:p>
    <w:p>
      <w:pPr>
        <w:ind w:left="0" w:right="0" w:firstLine="560"/>
        <w:spacing w:before="450" w:after="450" w:line="312" w:lineRule="auto"/>
      </w:pPr>
      <w:r>
        <w:rPr>
          <w:rFonts w:ascii="宋体" w:hAnsi="宋体" w:eastAsia="宋体" w:cs="宋体"/>
          <w:color w:val="000"/>
          <w:sz w:val="28"/>
          <w:szCs w:val="28"/>
        </w:rPr>
        <w:t xml:space="preserve">2024年第一季度广告服务的毛利率为47.8%，上一季度和去年同期分别为57.8%和29.0%。毛利率同比增长的主要原因是广告服务需求上升。毛利率环比下降的主要原因是季节性因素。</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2024年第一季度邮箱，电商及其它业务毛利率为6.7%，上一季度和去年同期分别为毛损率4.0%和13.1%。毛利率的改善主要是由于毛利率相对较高的电商业务收入的增长。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5.64亿元人民币(9,067万美元)，上一季度和去年同期分别为6.48亿元人民币和4.56亿元人民币。运营费用的同比增加是由于在线游戏和广告业务相关的市场营销费用增加，员工人数、平均薪资提高，以及研发投入增加。运营费用的环比减少主要是由于自主研发游戏市场费用的减少。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1.80亿元人民币(2,889万美元)，上一季度和去年同期分别为4,942万元人民币和1.43亿元人民币。2024年第一季度实际税率为13.8%，上一季度和去年同期分别为3.8%和11.8%。实际税率环比变化的原因是由于集团下属的部分子公司在2024年第四季度被认定为重点软件企业(从2024到2024)，在2024年第四季度确认了2024全年企业所得税税收减免，从而降低了实际税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2024年第一季度的净利润为11.24亿元人民币(1.81亿美元)，上一季度和去年同期分别为12.37亿元人民币和10.63亿元人民币。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712万元人民币(115万美元)，上一季度及去年同期分别为净汇兑损失1,757万元和人民币931万元人民币。净汇兑损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2024年第一季度每股美国存托凭证净利润为1.39美元(基本)和1.38美元(摊薄)。上一季度为1.53美元(基本)和1.52美元(摊薄)，去年同期为1.32美元(基本和摊薄)。</w:t>
      </w:r>
    </w:p>
    <w:p>
      <w:pPr>
        <w:ind w:left="0" w:right="0" w:firstLine="560"/>
        <w:spacing w:before="450" w:after="450" w:line="312" w:lineRule="auto"/>
      </w:pPr>
      <w:r>
        <w:rPr>
          <w:rFonts w:ascii="宋体" w:hAnsi="宋体" w:eastAsia="宋体" w:cs="宋体"/>
          <w:color w:val="000"/>
          <w:sz w:val="28"/>
          <w:szCs w:val="28"/>
        </w:rPr>
        <w:t xml:space="preserve">季度股利</w:t>
      </w:r>
    </w:p>
    <w:p>
      <w:pPr>
        <w:ind w:left="0" w:right="0" w:firstLine="560"/>
        <w:spacing w:before="450" w:after="450" w:line="312" w:lineRule="auto"/>
      </w:pPr>
      <w:r>
        <w:rPr>
          <w:rFonts w:ascii="宋体" w:hAnsi="宋体" w:eastAsia="宋体" w:cs="宋体"/>
          <w:color w:val="000"/>
          <w:sz w:val="28"/>
          <w:szCs w:val="28"/>
        </w:rPr>
        <w:t xml:space="preserve">2024年2月11日，公司董事会批准了2024年现金股利为每股美国存托凭证 1.41美元。该股利共计约1.81亿美元，于2024年3月7日发放给2024年2月26日登记在册的全体股东。</w:t>
      </w:r>
    </w:p>
    <w:p>
      <w:pPr>
        <w:ind w:left="0" w:right="0" w:firstLine="560"/>
        <w:spacing w:before="450" w:after="450" w:line="312" w:lineRule="auto"/>
      </w:pPr>
      <w:r>
        <w:rPr>
          <w:rFonts w:ascii="宋体" w:hAnsi="宋体" w:eastAsia="宋体" w:cs="宋体"/>
          <w:color w:val="000"/>
          <w:sz w:val="28"/>
          <w:szCs w:val="28"/>
        </w:rPr>
        <w:t xml:space="preserve">2024年5月13日，公司董事会批准了一项新的季度股利政策，从2024年开始实施。根据该政策规定，季度股利发放金额约为公司每财务季度预计税后净利润的25%。董事会宣布，2024年第一季度股利为每股美国存托凭证 0.34美元，我们预期于2024年6月6日支付给2024年5月28日休市后登记在册的全体股东。每季度股利的发放及具体金额由董事会全权决定，将以公司的运营和盈利情况、现金流量、财务状况及其他相关因素为基础。</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192.52亿元人民币(30.97亿美元)，截止至2024年12月31日为185.84亿元人民币。2024年第一季度经营活动净现金流入约为16.50亿元人民币(2.65亿美元)，上一和去年同期为16.23亿元人民币和15.48亿元人民币。此外，截止至2024年3月31日，境外银行贷款有本金9,000万美元，系由公司存放在该外资银行境内分支机构的6.05亿元人民币短期投资作为担保。</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2024年2月，公司宣布其董事会批准了一项新的股份回购计划，公司将在不超过12个月的期限内，回购总金额不超过1亿美元流通在外的美国存托凭证。截止到2024年3月31日，尚未发生美国存托凭证回购。</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3月最后一个交易日(2024年3月31日)人民币中午买入汇率，即：1美元=6.2164元人民币。无正式陈述说明人民币已经或者可能以2024年3月31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2024-09-20T21:14:37+08:00</dcterms:created>
  <dcterms:modified xsi:type="dcterms:W3CDTF">2024-09-20T21:14:37+08:00</dcterms:modified>
</cp:coreProperties>
</file>

<file path=docProps/custom.xml><?xml version="1.0" encoding="utf-8"?>
<Properties xmlns="http://schemas.openxmlformats.org/officeDocument/2006/custom-properties" xmlns:vt="http://schemas.openxmlformats.org/officeDocument/2006/docPropsVTypes"/>
</file>