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最新乡村振兴好青年简要事迹范文(五篇)</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乡村振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乡村振兴好青年简要事迹范文篇1</w:t>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乡村振兴好青年简要事迹范文篇2</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二十大，是“两个一百年”奋斗目标的历史交汇期，我平台要以习近平总书记关于“三农”工作的重要论述为指导，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乡村振兴好青年简要事迹范文篇3</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乡村振兴好青年简要事迹范文篇4</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乡村振兴好青年简要事迹范文篇5</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宋体" w:hAnsi="宋体" w:eastAsia="宋体" w:cs="宋体"/>
          <w:color w:val="000"/>
          <w:sz w:val="28"/>
          <w:szCs w:val="28"/>
        </w:rPr>
        <w:t xml:space="preserve">乡村振兴好青年简要事迹范文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2024-09-21T00:47:15+08:00</dcterms:created>
  <dcterms:modified xsi:type="dcterms:W3CDTF">2024-09-21T00:47:15+08:00</dcterms:modified>
</cp:coreProperties>
</file>

<file path=docProps/custom.xml><?xml version="1.0" encoding="utf-8"?>
<Properties xmlns="http://schemas.openxmlformats.org/officeDocument/2006/custom-properties" xmlns:vt="http://schemas.openxmlformats.org/officeDocument/2006/docPropsVTypes"/>
</file>