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在典型案件警示教育集中学习研讨会上发言材料</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典型案件警示教育集中学习研讨会上发言材料1同志们：为深入贯彻习近平总书记重要指示精神，持续推进全面从严治党战略部署，彻底肃清案件影响，按照市委的安排，近期我认真学习了《关于严重违纪违法问题及其教训警示的通报》《中国共产党章程》等篇章，通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