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2024年建筑工程合伙协议模版 建筑工程合伙协议书三人(三篇)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建筑工程合伙协议模版 建筑工程合伙协议书三人篇一乙方：_...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建筑工程合伙协议模版 建筑工程合伙协议书三人篇一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建筑工程合伙协议模版 建筑工程合伙协议书三人篇二</w:t>
      </w:r>
    </w:p>
    <w:p>
      <w:pPr>
        <w:ind w:left="0" w:right="0" w:firstLine="560"/>
        <w:spacing w:before="450" w:after="450" w:line="312" w:lineRule="auto"/>
      </w:pPr>
      <w:r>
        <w:rPr>
          <w:rFonts w:ascii="宋体" w:hAnsi="宋体" w:eastAsia="宋体" w:cs="宋体"/>
          <w:color w:val="000"/>
          <w:sz w:val="28"/>
          <w:szCs w:val="28"/>
        </w:rPr>
        <w:t xml:space="preserve">|发包人(甲方)：住址：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甲乙双方按照《中华人民共和国经纪民法典》和《建筑工程承包合同条例》规定的原则，结合工程的实际情况，达成如下协议。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建筑工程合伙协议模版 建筑工程合伙协议书三人篇三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根据青岛市国土资源和房屋管理局等单位发布的青国土资房(预)告字[20]号储备国有土地使用权拍卖预告的规定，青岛市国土资源和房屋管理局定于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 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 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 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 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第六章、合作项目所需资金和其他费用的支付方式共3页，当前第1页123</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 本次拍卖会及本协议当事人共同拟竟买的地块的简介：根据            号，    年   月   日，    市国土资源和房屋管理局等单位将在    市房地产交易中心      楼拍卖厅举行青岛市储备国有土地使用权出让拍卖会。本协议当事人决定参加上述     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          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         元。前述保证金应于青岛市国土资源和房屋管理局规定的截止日期的    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 拍卖机构的佣金，在拍卖机构规定日期的    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     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 拍卖成交后，本协议当事人最迟应于青岛市国土资源和房屋管理局规定的截止日期的       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 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 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2024-10-05T18:21:36+08:00</dcterms:created>
  <dcterms:modified xsi:type="dcterms:W3CDTF">2024-10-05T18:21:36+08:00</dcterms:modified>
</cp:coreProperties>
</file>

<file path=docProps/custom.xml><?xml version="1.0" encoding="utf-8"?>
<Properties xmlns="http://schemas.openxmlformats.org/officeDocument/2006/custom-properties" xmlns:vt="http://schemas.openxmlformats.org/officeDocument/2006/docPropsVTypes"/>
</file>