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原材料采购合同(7篇)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原材料采购合同篇一购货单位（甲方）：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原材料采购合同篇一</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 1.产品的数量：____________________________________________. 2.计量单位、计量方法：____________________________________.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 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 1.产品的交货单位：________________________________. 2.交货方法，按下列第（ )项执行： （1）乙方送货； (2)乙方代运； (3)甲方自提自运。 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 1.产品的价格：按下列第（ )项执行： (1）按物价主管部门的批准价执行； (2)按甲乙双方的商定价执行。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2.产品货款的结算：产品的货款、实际支付的运杂费和其他费用的结算，按照中国人民银行结算办法的规定办理。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______________________________________________________.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法定代表人：_________（公章） 法定代表人：_________（盖章）</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包装物由乙方回收。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1.1 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1.2 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原材料采购合同篇七</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