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工委班子学习新民主主义革命时期历史专题研讨材料</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委班子学习新民主主义革命时期历史专题研讨材料新民主主义革命是相对于旧民主主义革命而言的，是指在帝国主义和无产阶级革命时代，殖民地半殖民地国家中的无产阶级领导的，以工农联盟为基础的，人民大众的，反对帝国主义封建主义(以及1927年以后形成的...</w:t>
      </w:r>
    </w:p>
    <w:p>
      <w:pPr>
        <w:ind w:left="0" w:right="0" w:firstLine="560"/>
        <w:spacing w:before="450" w:after="450" w:line="312" w:lineRule="auto"/>
      </w:pPr>
      <w:r>
        <w:rPr>
          <w:rFonts w:ascii="宋体" w:hAnsi="宋体" w:eastAsia="宋体" w:cs="宋体"/>
          <w:color w:val="000"/>
          <w:sz w:val="28"/>
          <w:szCs w:val="28"/>
        </w:rPr>
        <w:t xml:space="preserve">工委班子学习新民主主义革命时期历史专题研讨材料</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其中中国共产党的诞生标志着中国新民主主义的开端，中国人民谋求民族独立、人民解放、国家富强和人民幸福的斗争从此有了主心骨。我们党团结带领人民历经28年艰苦卓绝的斗争推翻“三座大山”、实现民族独立和人民解放，实现了中国从几千年封建专制向人民民主的伟大飞跃，中华民族走上了实现伟大复兴的壮阔道路。学习新民主主义革命时期历史，使我们深刻认识到红色政权来之不易、新中国来之不易，我们要从党的非凡历史中找寻初心、体悟使命，进一步坚定共产主义的理想信念，切实增强树牢“四个意识”、坚定“四个自信”、做到“两个维护”的政治认同、思想认同、理论认同和情感认同；进一步坚定一切为民的初心使命，坚持以人民为中心，着力解决好人民群众的“急难愁盼”等问题，让人民群众共享全面建成小康社会的成果。</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2024-09-20T10:57:03+08:00</dcterms:created>
  <dcterms:modified xsi:type="dcterms:W3CDTF">2024-09-20T10:57:03+08:00</dcterms:modified>
</cp:coreProperties>
</file>

<file path=docProps/custom.xml><?xml version="1.0" encoding="utf-8"?>
<Properties xmlns="http://schemas.openxmlformats.org/officeDocument/2006/custom-properties" xmlns:vt="http://schemas.openxmlformats.org/officeDocument/2006/docPropsVTypes"/>
</file>