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关于赴大英、射洪等地学习考察的报告（精选五篇）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大英、射洪等地学习考察的报告为了学习借鉴外地发展经验，促进ＸＸ实现又快又好的发展，3月11日至14日，县委书记ＸＸＸ、县长ＸＸＸ率ＸＸ党政考察团赴大英、射洪、温江、锦江、邛崃、蒲江、名山、雨城等八个县市进行了考察学习。15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2024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本文权属文秘之音所有，更多文章请登陆www.feisuxs查看)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2024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二是在发展速度、特别是工业发展速度上存在差距。2024年，我县工业增加值为6.28亿元，比大英低 亿元，比射洪低14.22亿元，比温江低31.54亿元。特别是大英县建县仅8年，城市面积扩大了6倍，GDp增加了38倍，是工业销售收入建县之初的11.04倍，连续3年翻番，实现工商税1.1亿元，是建县之初的40多倍，2024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2024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XX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XX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二是在发展速度、特别是工业发展速度上存在差距。XX年，我县工业增加值为6.28亿元，比大英低</w:t>
      </w:r>
    </w:p>
    <w:p>
      <w:pPr>
        <w:ind w:left="0" w:right="0" w:firstLine="560"/>
        <w:spacing w:before="450" w:after="450" w:line="312" w:lineRule="auto"/>
      </w:pPr>
      <w:r>
        <w:rPr>
          <w:rFonts w:ascii="宋体" w:hAnsi="宋体" w:eastAsia="宋体" w:cs="宋体"/>
          <w:color w:val="000"/>
          <w:sz w:val="28"/>
          <w:szCs w:val="28"/>
        </w:rPr>
        <w:t xml:space="preserve">亿元，比射洪低14.22亿元，比温江低31.54亿元。特别是大英县建县仅8年，城市面积扩大了6倍，GDP增加了38倍，是工业销售收入建县之初的11.04倍，连续3年翻番，实现工商税1.1亿元，是建县之初的40多倍，XX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XX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2024-09-19T16:53:26+08:00</dcterms:created>
  <dcterms:modified xsi:type="dcterms:W3CDTF">2024-09-19T16:53:26+08:00</dcterms:modified>
</cp:coreProperties>
</file>

<file path=docProps/custom.xml><?xml version="1.0" encoding="utf-8"?>
<Properties xmlns="http://schemas.openxmlformats.org/officeDocument/2006/custom-properties" xmlns:vt="http://schemas.openxmlformats.org/officeDocument/2006/docPropsVTypes"/>
</file>