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2024年财务制度执行情况自查报告范文精选</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2024年财务制度执行情况自查报告范文精选一20__...</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2024年财务制度执行情况自查报告范文精选一</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2024年财务制度执行情况自查报告范文精选二</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2024年财务制度执行情况自查报告范文精选三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2024年财务制度执行情况自查报告范文精选四</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黑体" w:hAnsi="黑体" w:eastAsia="黑体" w:cs="黑体"/>
          <w:color w:val="000000"/>
          <w:sz w:val="34"/>
          <w:szCs w:val="34"/>
          <w:b w:val="1"/>
          <w:bCs w:val="1"/>
        </w:rPr>
        <w:t xml:space="preserve">2024年财务制度执行情况自查报告范文精选五</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【2024年财务制度执行情况自查报告范文精选】相关推荐文章:</w:t>
      </w:r>
    </w:p>
    <w:p>
      <w:pPr>
        <w:ind w:left="0" w:right="0" w:firstLine="560"/>
        <w:spacing w:before="450" w:after="450" w:line="312" w:lineRule="auto"/>
      </w:pPr>
      <w:r>
        <w:rPr>
          <w:rFonts w:ascii="宋体" w:hAnsi="宋体" w:eastAsia="宋体" w:cs="宋体"/>
          <w:color w:val="000"/>
          <w:sz w:val="28"/>
          <w:szCs w:val="28"/>
        </w:rPr>
        <w:t xml:space="preserve">2024年财务制度执行情况自查报告范文</w:t>
      </w:r>
    </w:p>
    <w:p>
      <w:pPr>
        <w:ind w:left="0" w:right="0" w:firstLine="560"/>
        <w:spacing w:before="450" w:after="450" w:line="312" w:lineRule="auto"/>
      </w:pPr>
      <w:r>
        <w:rPr>
          <w:rFonts w:ascii="宋体" w:hAnsi="宋体" w:eastAsia="宋体" w:cs="宋体"/>
          <w:color w:val="000"/>
          <w:sz w:val="28"/>
          <w:szCs w:val="28"/>
        </w:rPr>
        <w:t xml:space="preserve">党风廉政建设责任制执行情况的自查报告</w:t>
      </w:r>
    </w:p>
    <w:p>
      <w:pPr>
        <w:ind w:left="0" w:right="0" w:firstLine="560"/>
        <w:spacing w:before="450" w:after="450" w:line="312" w:lineRule="auto"/>
      </w:pPr>
      <w:r>
        <w:rPr>
          <w:rFonts w:ascii="宋体" w:hAnsi="宋体" w:eastAsia="宋体" w:cs="宋体"/>
          <w:color w:val="000"/>
          <w:sz w:val="28"/>
          <w:szCs w:val="28"/>
        </w:rPr>
        <w:t xml:space="preserve">党风廉政建设责任制执行情况的自查报告</w:t>
      </w:r>
    </w:p>
    <w:p>
      <w:pPr>
        <w:ind w:left="0" w:right="0" w:firstLine="560"/>
        <w:spacing w:before="450" w:after="450" w:line="312" w:lineRule="auto"/>
      </w:pPr>
      <w:r>
        <w:rPr>
          <w:rFonts w:ascii="宋体" w:hAnsi="宋体" w:eastAsia="宋体" w:cs="宋体"/>
          <w:color w:val="000"/>
          <w:sz w:val="28"/>
          <w:szCs w:val="28"/>
        </w:rPr>
        <w:t xml:space="preserve">公务员法执行情况自查报告</w:t>
      </w:r>
    </w:p>
    <w:p>
      <w:pPr>
        <w:ind w:left="0" w:right="0" w:firstLine="560"/>
        <w:spacing w:before="450" w:after="450" w:line="312" w:lineRule="auto"/>
      </w:pPr>
      <w:r>
        <w:rPr>
          <w:rFonts w:ascii="宋体" w:hAnsi="宋体" w:eastAsia="宋体" w:cs="宋体"/>
          <w:color w:val="000"/>
          <w:sz w:val="28"/>
          <w:szCs w:val="28"/>
        </w:rPr>
        <w:t xml:space="preserve">党风廉政建设责任制执行情况自查报告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2024-09-20T11:39:09+08:00</dcterms:created>
  <dcterms:modified xsi:type="dcterms:W3CDTF">2024-09-20T11:39:09+08:00</dcterms:modified>
</cp:coreProperties>
</file>

<file path=docProps/custom.xml><?xml version="1.0" encoding="utf-8"?>
<Properties xmlns="http://schemas.openxmlformats.org/officeDocument/2006/custom-properties" xmlns:vt="http://schemas.openxmlformats.org/officeDocument/2006/docPropsVTypes"/>
</file>