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住建局党支部意识形态工作总结(通用3篇)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以下是为大家整理的关于住建局党支部意识形态工作总结的文章3篇 ,欢迎品鉴！第1篇: 住建局党支部意识形态工作总结　　根据中央《党委（党组意识形态工作职责制实施办法》、自治区党委...</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以下是为大家整理的关于住建局党支部意识形态工作总结的文章3篇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住建局党支部意识形态工作总结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第2篇: 住建局党支部意识形态工作总结</w:t>
      </w:r>
    </w:p>
    <w:p>
      <w:pPr>
        <w:ind w:left="0" w:right="0" w:firstLine="560"/>
        <w:spacing w:before="450" w:after="450" w:line="312" w:lineRule="auto"/>
      </w:pPr>
      <w:r>
        <w:rPr>
          <w:rFonts w:ascii="宋体" w:hAnsi="宋体" w:eastAsia="宋体" w:cs="宋体"/>
          <w:color w:val="000"/>
          <w:sz w:val="28"/>
          <w:szCs w:val="28"/>
        </w:rPr>
        <w:t xml:space="preserve">　　为响应县委对各单位意识形态工作的要求，我局秉承以宣传强规划、以理论促发展，紧密围绕“抓发展、抓改革、抓民生、抓党建”的精神，贯彻落实党组意识形态工作责任制实施方案。依照《XX县贯彻落实党委（党组）意识形态工作责任制实施方案》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XX县委印发《XX县贯彻落实党委（党组）意识形态工作责任制实施方案》后，局党组开展了多次学习活动领会文件精神，力求体悟透彻、体会深刻。意识形态工作是党的一项重要工作，关乎旗帜、关乎道路、关乎国家政治安全。必须高举中国特色社主义伟大旗帜，坚持以马克思列宁主义、毛泽东思想、邓小平理论、“三个代表”重要思想、科学发展观为指导，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　　&gt;五、2024下半年工作思路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我局作风建设成果。二是继续做好地震监测、地震科普宣传、灾后重建等相关协调配合工作，促进我县灾后重建相关工作顺利进行。20XX上半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住建局党支部意识形态工作总结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（6）2024年7月2日，邀请马列学院李晓衡教授进行了举办以“全面深化改革——中国改革进行时”为题目的理论文化讲坛。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2024-10-04T13:25:56+08:00</dcterms:created>
  <dcterms:modified xsi:type="dcterms:W3CDTF">2024-10-04T13:25:56+08:00</dcterms:modified>
</cp:coreProperties>
</file>

<file path=docProps/custom.xml><?xml version="1.0" encoding="utf-8"?>
<Properties xmlns="http://schemas.openxmlformats.org/officeDocument/2006/custom-properties" xmlns:vt="http://schemas.openxmlformats.org/officeDocument/2006/docPropsVTypes"/>
</file>