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实训报告范文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实训报告范文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 我们以**公司为实训...</w:t>
      </w:r>
    </w:p>
    <w:p>
      <w:pPr>
        <w:ind w:left="0" w:right="0" w:firstLine="560"/>
        <w:spacing w:before="450" w:after="450" w:line="312" w:lineRule="auto"/>
      </w:pPr>
      <w:r>
        <w:rPr>
          <w:rFonts w:ascii="宋体" w:hAnsi="宋体" w:eastAsia="宋体" w:cs="宋体"/>
          <w:color w:val="000"/>
          <w:sz w:val="28"/>
          <w:szCs w:val="28"/>
        </w:rPr>
        <w:t xml:space="preserve">实训报告范文</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2024-11-09T02:32:35+08:00</dcterms:created>
  <dcterms:modified xsi:type="dcterms:W3CDTF">2024-11-09T02:32:35+08:00</dcterms:modified>
</cp:coreProperties>
</file>

<file path=docProps/custom.xml><?xml version="1.0" encoding="utf-8"?>
<Properties xmlns="http://schemas.openxmlformats.org/officeDocument/2006/custom-properties" xmlns:vt="http://schemas.openxmlformats.org/officeDocument/2006/docPropsVTypes"/>
</file>