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第一季度工作总结,乡镇2024年第一季度工作总结及第二季度工作计划</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在区委、区政府的正确领导下，xx镇坚持稳中求进，突出好中求快，围绕“三抓三比”、“十项竞赛”，在新的起点上着力加快打造宜居、宜业、宜商的新xx。突出转型升级，进一步调整优化产业结构;突出项目攻坚，发展空间进一步向纵深拓展;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xx镇坚持稳中求进，突出好中求快，围绕“三抓三比”、“十项竞赛”，在新的起点上着力加快打造宜居、宜业、宜商的新xx。突出转型升级，进一步调整优化产业结构;突出项目攻坚，发展空间进一步向纵深拓展;突出环境优化，城乡面貌不断改善;突出共享发展，增添民生新福祉;突出作风建设，服务效能明显提高，为xx的发展提供了坚实保障。</w:t>
      </w:r>
    </w:p>
    <w:p>
      <w:pPr>
        <w:ind w:left="0" w:right="0" w:firstLine="560"/>
        <w:spacing w:before="450" w:after="450" w:line="312" w:lineRule="auto"/>
      </w:pPr>
      <w:r>
        <w:rPr>
          <w:rFonts w:ascii="宋体" w:hAnsi="宋体" w:eastAsia="宋体" w:cs="宋体"/>
          <w:color w:val="000"/>
          <w:sz w:val="28"/>
          <w:szCs w:val="28"/>
        </w:rPr>
        <w:t xml:space="preserve">　　&gt;一、主要工作与成效</w:t>
      </w:r>
    </w:p>
    <w:p>
      <w:pPr>
        <w:ind w:left="0" w:right="0" w:firstLine="560"/>
        <w:spacing w:before="450" w:after="450" w:line="312" w:lineRule="auto"/>
      </w:pPr>
      <w:r>
        <w:rPr>
          <w:rFonts w:ascii="宋体" w:hAnsi="宋体" w:eastAsia="宋体" w:cs="宋体"/>
          <w:color w:val="000"/>
          <w:sz w:val="28"/>
          <w:szCs w:val="28"/>
        </w:rPr>
        <w:t xml:space="preserve">　　㈠各项经济指标完成情况。</w:t>
      </w:r>
    </w:p>
    <w:p>
      <w:pPr>
        <w:ind w:left="0" w:right="0" w:firstLine="560"/>
        <w:spacing w:before="450" w:after="450" w:line="312" w:lineRule="auto"/>
      </w:pPr>
      <w:r>
        <w:rPr>
          <w:rFonts w:ascii="宋体" w:hAnsi="宋体" w:eastAsia="宋体" w:cs="宋体"/>
          <w:color w:val="000"/>
          <w:sz w:val="28"/>
          <w:szCs w:val="28"/>
        </w:rPr>
        <w:t xml:space="preserve">　　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　　㈡项目总体进展情况。</w:t>
      </w:r>
    </w:p>
    <w:p>
      <w:pPr>
        <w:ind w:left="0" w:right="0" w:firstLine="560"/>
        <w:spacing w:before="450" w:after="450" w:line="312" w:lineRule="auto"/>
      </w:pPr>
      <w:r>
        <w:rPr>
          <w:rFonts w:ascii="宋体" w:hAnsi="宋体" w:eastAsia="宋体" w:cs="宋体"/>
          <w:color w:val="000"/>
          <w:sz w:val="28"/>
          <w:szCs w:val="28"/>
        </w:rPr>
        <w:t xml:space="preserve">　　今年xx镇列入跟踪的区级以上(含区级)重点项目41个，其中：续建项目11个，新建项目26个，预备项目4个。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　　2024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　　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2024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㈠发展后劲严重不足。固定资产投资方面，透支严重，现有项目投资额在2024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　　㈡项目推进速度仍然偏慢。受到征迁、土地平整、报建手续繁多及企业资金链等多种因素影响，项目整体推进速度仍然较慢。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　　㈢财税征收工作压力巨大。特别是出口型工业企业整体不景气，造成税源减少严重;加上缺乏新增速效财源，财政收入仍有缺口。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&gt;　　三、第二季度工作计划</w:t>
      </w:r>
    </w:p>
    <w:p>
      <w:pPr>
        <w:ind w:left="0" w:right="0" w:firstLine="560"/>
        <w:spacing w:before="450" w:after="450" w:line="312" w:lineRule="auto"/>
      </w:pPr>
      <w:r>
        <w:rPr>
          <w:rFonts w:ascii="宋体" w:hAnsi="宋体" w:eastAsia="宋体" w:cs="宋体"/>
          <w:color w:val="000"/>
          <w:sz w:val="28"/>
          <w:szCs w:val="28"/>
        </w:rPr>
        <w:t xml:space="preserve">　　㈠继续加大招商引资力度。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　　㈡继续推进项目建设。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　　㈢强化培植新增规模工业和限额以上商贸企业。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　　㈣继续加强财税征管。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2024-10-06T23:25:17+08:00</dcterms:created>
  <dcterms:modified xsi:type="dcterms:W3CDTF">2024-10-06T23:25:17+08:00</dcterms:modified>
</cp:coreProperties>
</file>

<file path=docProps/custom.xml><?xml version="1.0" encoding="utf-8"?>
<Properties xmlns="http://schemas.openxmlformats.org/officeDocument/2006/custom-properties" xmlns:vt="http://schemas.openxmlformats.org/officeDocument/2006/docPropsVTypes"/>
</file>