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乡镇警察联合执法工作总结(合集6篇)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乡镇警察联合执法工作总结1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乡镇警察联合执法工作总结1</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2024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乡镇警察联合执法工作总结2</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乡镇警察联合执法工作总结3</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乡镇警察联合执法工作总结4</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20xx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2024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xxx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乡镇警察联合执法工作总结5</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乡镇警察联合执法工作总结6</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xx县行政执法过错责任追究追偿办法》及《xx县行政执法评议考核办法》等行政执法方面的法律法规和政策规定，使全体执法干部在具体操作中能够熟练运用有关法律、法规和政策，解决问题，切实增强依法行政的能力。</w:t>
      </w:r>
    </w:p>
    <w:p>
      <w:pPr>
        <w:ind w:left="0" w:right="0" w:firstLine="560"/>
        <w:spacing w:before="450" w:after="450" w:line="312" w:lineRule="auto"/>
      </w:pPr>
      <w:r>
        <w:rPr>
          <w:rFonts w:ascii="宋体" w:hAnsi="宋体" w:eastAsia="宋体" w:cs="宋体"/>
          <w:color w:val="000"/>
          <w:sz w:val="28"/>
          <w:szCs w:val="28"/>
        </w:rPr>
        <w:t xml:space="preserve">同时，配合县法制局搞好行政执法干部岗前培训和验证法律知识考试，努力提高全体行政执法干部的整体素质。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二是调整行政执法责任制领导小组，成立内部监督考核组织、执法过错责任追究组织，逐级落实行政执法领导责任制，为有效落实行政执法责任制提供可靠的组织保证、</w:t>
      </w:r>
    </w:p>
    <w:p>
      <w:pPr>
        <w:ind w:left="0" w:right="0" w:firstLine="560"/>
        <w:spacing w:before="450" w:after="450" w:line="312" w:lineRule="auto"/>
      </w:pPr>
      <w:r>
        <w:rPr>
          <w:rFonts w:ascii="宋体" w:hAnsi="宋体" w:eastAsia="宋体" w:cs="宋体"/>
          <w:color w:val="000"/>
          <w:sz w:val="28"/>
          <w:szCs w:val="28"/>
        </w:rPr>
        <w:t xml:space="preserve">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