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生态环境举报工作总结(精选8篇)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生态环境举报工作总结1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生态环境举报工作总结1</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生态环境举报工作总结2</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达的各项重点任务。按照自治区统一要求，配合农牧部门开展农用地质量类别划定，实施分类管理。更新疑似污染地块名单，完善污染（疑似污染）地块信息沟通机制，对污染地块的开发利用实行联动监管，有针对性地实施风险管控。全面实施农业“三减”行动，控制农业面源污染，建设绿色田园，指导贺兰县全面完成土壤污染修复与治理项目示范工程。配合完成贺兰山自然保护区**段40处人类活动整治点的土地移交工作，加快完成白芨滩自然保护区“绿盾xx年必须完成整改的工作，进一步强化整改措施，明确责任人、整改要求和整改时限，挂账销号，尽快整改到位。对于制度层面，需要长期整改坚持的，进一步通过深化改革推动体制机制创新，建立长效机制，确保达到整改要求。</w:t>
      </w:r>
    </w:p>
    <w:p>
      <w:pPr>
        <w:ind w:left="0" w:right="0" w:firstLine="560"/>
        <w:spacing w:before="450" w:after="450" w:line="312" w:lineRule="auto"/>
      </w:pPr>
      <w:r>
        <w:rPr>
          <w:rFonts w:ascii="宋体" w:hAnsi="宋体" w:eastAsia="宋体" w:cs="宋体"/>
          <w:color w:val="000"/>
          <w:sz w:val="28"/>
          <w:szCs w:val="28"/>
        </w:rPr>
        <w:t xml:space="preserve">六是全面加强环境监管能力建设，推进精准治污。建设覆盖市、县（区）、乡镇（街道）三级政府的智慧环保指挥系统，以大气超级站为基础，增加空气质量监测子站数量，新建空气质量监测微站和视频监控系统，空气质量实现“点、线、面”全面精准监测分析，对全市环保工作实行格化管理，聘用专职格员监督格内环保工作，及时发现上报制止污染环境违法行为，全面推进精准治污。</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生态环境举报工作总结4</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生态环境举报工作总结5</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生态环境举报工作总结6</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*、生态省建设及省市长环保目标工作：组织迎接了省政府对****年生态省建设阶段性目标及省市长环保目标完成情况的检查，取得好成果，被评为生态省建设及环境保护目标工作先进单位。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政府、委办局目标：组织对区县（市）政府、市直有关委办局****年目标完成情况进行检查考核，代政府起草了《关于表彰****年度环境目标责任状考评先进单位的通报》；牵头拟定了区县（市）政府、市直有关委办局****－****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生态环境举报工作总结7</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生态环境举报工作总结8</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2024-10-20T01:16:18+08:00</dcterms:created>
  <dcterms:modified xsi:type="dcterms:W3CDTF">2024-10-20T01:16:18+08:00</dcterms:modified>
</cp:coreProperties>
</file>

<file path=docProps/custom.xml><?xml version="1.0" encoding="utf-8"?>
<Properties xmlns="http://schemas.openxmlformats.org/officeDocument/2006/custom-properties" xmlns:vt="http://schemas.openxmlformats.org/officeDocument/2006/docPropsVTypes"/>
</file>