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1、科室每月组织一次医院感染相关知识培训，并做好记录。2、院感科全年组织院感知识讲课两次，采取多种形式进行全员培训，试卷考核，提高医务人员医院感染防范意识。3、落实新职工岗前培训。4、对卫生员进行医疗废物收集及职业防护...</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每月进行消毒、灭菌、环境卫生学监测，对科室使用中的消毒液、医务人员的手、物体表面、室内空气进行定期和不定期随机抽样监测。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严格按照院感工作制度，全面落实医务人员手卫生管理制度。加强手卫生的宣传、教育、培训活动，增强预防医院感染的意识，掌握手卫生知识,保证洗手与手消毒效果。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本年度继续加强多重耐药菌的学习，严格按照院感制度的`相关要求，做好多重耐药菌的监测和管理工作，并及时做好传染病的上报工作。</w:t>
      </w:r>
    </w:p>
    <w:p>
      <w:pPr>
        <w:ind w:left="0" w:right="0" w:firstLine="560"/>
        <w:spacing w:before="450" w:after="450" w:line="312" w:lineRule="auto"/>
      </w:pPr>
      <w:r>
        <w:rPr>
          <w:rFonts w:ascii="宋体" w:hAnsi="宋体" w:eastAsia="宋体" w:cs="宋体"/>
          <w:color w:val="000"/>
          <w:sz w:val="28"/>
          <w:szCs w:val="28"/>
        </w:rPr>
        <w:t xml:space="preserve">严格按照《医疗废物管理条例》等法规中规定的要求对医疗废物进行规范处理，并做好交接本登记。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严格要求医务人员执行标准预防措施，尽量避免职业暴露，并对职业暴露进行监测登记。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2024-10-06T07:22:49+08:00</dcterms:created>
  <dcterms:modified xsi:type="dcterms:W3CDTF">2024-10-06T07:22:49+08:00</dcterms:modified>
</cp:coreProperties>
</file>

<file path=docProps/custom.xml><?xml version="1.0" encoding="utf-8"?>
<Properties xmlns="http://schemas.openxmlformats.org/officeDocument/2006/custom-properties" xmlns:vt="http://schemas.openxmlformats.org/officeDocument/2006/docPropsVTypes"/>
</file>