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秋季学期班主任初三班级期末工作总结(通用3篇)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教师这个神圣的职业承载着太多的希望。因此，如何培养一批精英是每一位教师都应该思考的问题。 以下是为大家整理的关于秋季学期班主任初三班级期末工作总结的文章3篇 ,欢迎品鉴！第1篇: 秋季学期班主任初三班级期末工作总结       班主任既是导...</w:t>
      </w:r>
    </w:p>
    <w:p>
      <w:pPr>
        <w:ind w:left="0" w:right="0" w:firstLine="560"/>
        <w:spacing w:before="450" w:after="450" w:line="312" w:lineRule="auto"/>
      </w:pPr>
      <w:r>
        <w:rPr>
          <w:rFonts w:ascii="宋体" w:hAnsi="宋体" w:eastAsia="宋体" w:cs="宋体"/>
          <w:color w:val="000"/>
          <w:sz w:val="28"/>
          <w:szCs w:val="28"/>
        </w:rPr>
        <w:t xml:space="preserve">教师这个神圣的职业承载着太多的希望。因此，如何培养一批精英是每一位教师都应该思考的问题。 以下是为大家整理的关于秋季学期班主任初三班级期末工作总结的文章3篇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第2篇: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初三班主任工作总结 2024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　　&gt;一、注意加强教育引导，帮助学生树立积极健康的心态。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　　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　　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　　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　　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　　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　　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　　&gt;五、注重促进全面发展，做好后进生转化工作。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　　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　　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　　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　　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第3篇: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&gt;一、继续抓好学生的日常行为习惯养成教育，及时抓住学生点滴的情绪变化，及时解决问题。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&gt;三、积极会同各学科教师积极备好学生，探讨教育学生的方法，用大家的智慧解决问题。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&gt;四、完善班级的管理制度，继续将竞争机制引入班级管理当中。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&gt;五、成绩方面。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