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打好“铁算盘” 过好“紧日子” 财政全面做好压减一般性支出</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关于艰苦奋斗、勤俭节约系列重要指示精神，全面落实中央、自治区、巴彦淖尔市关于必须真正“过紧日子”的要求，xxxxx财政坚持厉行节约编预算，始终坚持“有保有压、以收定支”的原则，持续压减一般性支出，在做好全旗“三保”...</w:t>
      </w:r>
    </w:p>
    <w:p>
      <w:pPr>
        <w:ind w:left="0" w:right="0" w:firstLine="560"/>
        <w:spacing w:before="450" w:after="450" w:line="312" w:lineRule="auto"/>
      </w:pPr>
      <w:r>
        <w:rPr>
          <w:rFonts w:ascii="宋体" w:hAnsi="宋体" w:eastAsia="宋体" w:cs="宋体"/>
          <w:color w:val="000"/>
          <w:sz w:val="28"/>
          <w:szCs w:val="28"/>
        </w:rPr>
        <w:t xml:space="preserve">为深入贯彻落实******关于艰苦奋斗、勤俭节约系列重要指示精神，全面落实中央、自治区、巴彦淖尔市关于必须真正“过紧日子”的要求，xxxxx财政坚持厉行节约编预算，始终坚持“有保有压、以收定支”的原则，持续压减一般性支出，在做好全旗“三保”工作的基础上，最大限度统筹财政资金支持疫情防控和经济社会发展，确保做好“六稳”“六保”任务，切实稳住全旗经济基本盘。</w:t>
      </w:r>
    </w:p>
    <w:p>
      <w:pPr>
        <w:ind w:left="0" w:right="0" w:firstLine="560"/>
        <w:spacing w:before="450" w:after="450" w:line="312" w:lineRule="auto"/>
      </w:pPr>
      <w:r>
        <w:rPr>
          <w:rFonts w:ascii="宋体" w:hAnsi="宋体" w:eastAsia="宋体" w:cs="宋体"/>
          <w:color w:val="000"/>
          <w:sz w:val="28"/>
          <w:szCs w:val="28"/>
        </w:rPr>
        <w:t xml:space="preserve">一是打破基数，财政资金“能进能出”。2024年在安排全旗预算工作时深入推进零基预算改革的要求，打破“基数+增长”的预算编制模式，按照只减不增原则安排“三公”经费预算，结合公务用车制度改革，严格控制车辆购置和运行支出，严格审减部门预算中非急需非刚性支出，努力降低行政运行成本。2024年全年预算安排一般性支出万元，较2024年减少万元，其中公务费、业务费预算安排时统一压减 %，全面压减实现连续两年下降 %以上。</w:t>
      </w:r>
    </w:p>
    <w:p>
      <w:pPr>
        <w:ind w:left="0" w:right="0" w:firstLine="560"/>
        <w:spacing w:before="450" w:after="450" w:line="312" w:lineRule="auto"/>
      </w:pPr>
      <w:r>
        <w:rPr>
          <w:rFonts w:ascii="宋体" w:hAnsi="宋体" w:eastAsia="宋体" w:cs="宋体"/>
          <w:color w:val="000"/>
          <w:sz w:val="28"/>
          <w:szCs w:val="28"/>
        </w:rPr>
        <w:t xml:space="preserve">二是严控“三公”，行政成本大幅消减。通过国库股提供的相关数据，2024年上半年全旗一般性支出万元，较2024年上半年同比减少万元，压减%。其中，公务接待费在严格落实中央八项规定的基础上得到大幅压减，较2024年同期减少万元，同比降低%；公务用车运行及购置费方面，严格履行公务用车制度改革，严格控制车辆购置和运行支出，较2024年同期减少万元，同比降低 %。其他支出也严格按照中央、财政部和自治区、巴彦淖尔市关于“过紧日子”的要求，坚持厉行节约，对非急需非刚性支出进行实实在在的压减。</w:t>
      </w:r>
    </w:p>
    <w:p>
      <w:pPr>
        <w:ind w:left="0" w:right="0" w:firstLine="560"/>
        <w:spacing w:before="450" w:after="450" w:line="312" w:lineRule="auto"/>
      </w:pPr>
      <w:r>
        <w:rPr>
          <w:rFonts w:ascii="宋体" w:hAnsi="宋体" w:eastAsia="宋体" w:cs="宋体"/>
          <w:color w:val="000"/>
          <w:sz w:val="28"/>
          <w:szCs w:val="28"/>
        </w:rPr>
        <w:t xml:space="preserve">三是硬化约束，加快执行提升效率。坚持硬化预算执行约束，强化预算执行管理，2024年继续严格控制预算追加事项，除疫情防控、应急救灾事项外，预算执行中追加预算项目层层审核、严格把关，追加预算事项全部报经旗人民政府审批，严把每一笔资金支出关口。坚持资金跟着预算走，资金跟着项目走，凡是没有列入预算，没有项目支撑或项目前期工作不成熟、实施条件不具备的，一律不得支出。严格支出进度考核，加强对财政资金的日常监管和重点督查，坚决杜绝截留挪用，确保各项财政政策落地见效，各项财政资金见到实效。</w:t>
      </w:r>
    </w:p>
    <w:p>
      <w:pPr>
        <w:ind w:left="0" w:right="0" w:firstLine="560"/>
        <w:spacing w:before="450" w:after="450" w:line="312" w:lineRule="auto"/>
      </w:pPr>
      <w:r>
        <w:rPr>
          <w:rFonts w:ascii="宋体" w:hAnsi="宋体" w:eastAsia="宋体" w:cs="宋体"/>
          <w:color w:val="000"/>
          <w:sz w:val="28"/>
          <w:szCs w:val="28"/>
        </w:rPr>
        <w:t xml:space="preserve">四是花钱问效，强化预算绩效管理。坚持预算项目全生命周期管理，将预算项目实施全过程纳入预算绩效管理，强化预算绩效管理和评价结果运用，确保每一笔支出都用在“刀刃上”。将旗级部门整体支出，包括预算安排的旗本级支出和上级专项转移支付资金全部纳入绩效监控范围。严格绩效目标审核，严格把关非急需非刚性、重点审核不达标的事项，实现绩效管理与预算安排的有机结合。强化绩效管理结果运用，倒逼和督促支出政策、预算安排、资金拨付使用更加科学合理，真正做到“花钱必问效、无效必问责”，最大限度发挥财政资金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2024-09-21T01:30:38+08:00</dcterms:created>
  <dcterms:modified xsi:type="dcterms:W3CDTF">2024-09-21T01:30:38+08:00</dcterms:modified>
</cp:coreProperties>
</file>

<file path=docProps/custom.xml><?xml version="1.0" encoding="utf-8"?>
<Properties xmlns="http://schemas.openxmlformats.org/officeDocument/2006/custom-properties" xmlns:vt="http://schemas.openxmlformats.org/officeDocument/2006/docPropsVTypes"/>
</file>