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人事行政周工作总结</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事行政周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人事行政周工作总结，希...</w:t>
      </w:r>
    </w:p>
    <w:p>
      <w:pPr>
        <w:ind w:left="0" w:right="0" w:firstLine="560"/>
        <w:spacing w:before="450" w:after="450" w:line="312" w:lineRule="auto"/>
      </w:pPr>
      <w:r>
        <w:rPr>
          <w:rFonts w:ascii="宋体" w:hAnsi="宋体" w:eastAsia="宋体" w:cs="宋体"/>
          <w:color w:val="000"/>
          <w:sz w:val="28"/>
          <w:szCs w:val="28"/>
        </w:rPr>
        <w:t xml:space="preserve">人事行政周工作总结5篇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人事行政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人事行政周工作总结1</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人事行政周工作总结2</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人事行政周工作总结5</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2024-10-20T20:26:28+08:00</dcterms:created>
  <dcterms:modified xsi:type="dcterms:W3CDTF">2024-10-20T20:26:28+08:00</dcterms:modified>
</cp:coreProperties>
</file>

<file path=docProps/custom.xml><?xml version="1.0" encoding="utf-8"?>
<Properties xmlns="http://schemas.openxmlformats.org/officeDocument/2006/custom-properties" xmlns:vt="http://schemas.openxmlformats.org/officeDocument/2006/docPropsVTypes"/>
</file>